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396808" w:rsidRDefault="003305AA" w:rsidP="003305AA">
      <w:pPr>
        <w:spacing w:after="0"/>
        <w:jc w:val="center"/>
        <w:rPr>
          <w:sz w:val="24"/>
          <w:szCs w:val="24"/>
        </w:rPr>
      </w:pPr>
    </w:p>
    <w:p w14:paraId="46FA9726" w14:textId="7A0227F6" w:rsidR="003305AA" w:rsidRPr="00396808" w:rsidRDefault="003305AA" w:rsidP="003305AA">
      <w:pPr>
        <w:spacing w:after="0"/>
        <w:rPr>
          <w:sz w:val="24"/>
          <w:szCs w:val="24"/>
          <w:highlight w:val="yellow"/>
        </w:rPr>
      </w:pPr>
      <w:r w:rsidRPr="00396808">
        <w:rPr>
          <w:sz w:val="24"/>
          <w:szCs w:val="24"/>
          <w:highlight w:val="yellow"/>
        </w:rPr>
        <w:t>[</w:t>
      </w:r>
      <w:r w:rsidR="001855CF" w:rsidRPr="00396808">
        <w:rPr>
          <w:sz w:val="24"/>
          <w:szCs w:val="24"/>
          <w:highlight w:val="yellow"/>
        </w:rPr>
        <w:t>AstraZeneca</w:t>
      </w:r>
      <w:r w:rsidR="001C3CE0" w:rsidRPr="00396808">
        <w:rPr>
          <w:sz w:val="24"/>
          <w:szCs w:val="24"/>
          <w:highlight w:val="yellow"/>
        </w:rPr>
        <w:t xml:space="preserve"> </w:t>
      </w:r>
      <w:r w:rsidRPr="00396808">
        <w:rPr>
          <w:sz w:val="24"/>
          <w:szCs w:val="24"/>
          <w:highlight w:val="yellow"/>
        </w:rPr>
        <w:t>Letterhead]</w:t>
      </w:r>
    </w:p>
    <w:p w14:paraId="16856BBE" w14:textId="77777777" w:rsidR="003305AA" w:rsidRPr="00396808" w:rsidRDefault="003305AA" w:rsidP="003305AA">
      <w:pPr>
        <w:spacing w:after="0"/>
        <w:rPr>
          <w:sz w:val="24"/>
          <w:szCs w:val="24"/>
        </w:rPr>
      </w:pPr>
    </w:p>
    <w:p w14:paraId="4A1E845E" w14:textId="77777777" w:rsidR="00A85048" w:rsidRDefault="00A85048" w:rsidP="00A85048">
      <w:pPr>
        <w:pStyle w:val="isselectedend"/>
        <w:spacing w:before="0" w:beforeAutospacing="0" w:after="0" w:afterAutospacing="0"/>
      </w:pPr>
      <w:r w:rsidRPr="002C6579">
        <w:t xml:space="preserve">Warrick County Area Plan </w:t>
      </w:r>
      <w:commentRangeStart w:id="0"/>
      <w:r w:rsidRPr="002C6579">
        <w:t>Commission</w:t>
      </w:r>
      <w:commentRangeEnd w:id="0"/>
      <w:r>
        <w:rPr>
          <w:rStyle w:val="CommentReference"/>
          <w:rFonts w:cstheme="minorBidi"/>
        </w:rPr>
        <w:commentReference w:id="0"/>
      </w:r>
    </w:p>
    <w:p w14:paraId="0FC8F013" w14:textId="77777777" w:rsidR="00A85048" w:rsidRPr="002C6579" w:rsidRDefault="00A85048" w:rsidP="00A85048">
      <w:pPr>
        <w:pStyle w:val="isselectedend"/>
        <w:spacing w:before="0" w:beforeAutospacing="0" w:after="0" w:afterAutospacing="0"/>
      </w:pPr>
      <w:r>
        <w:t xml:space="preserve">Warrick County Board of </w:t>
      </w:r>
      <w:commentRangeStart w:id="1"/>
      <w:r>
        <w:t>Commissioners</w:t>
      </w:r>
      <w:commentRangeEnd w:id="1"/>
      <w:r>
        <w:rPr>
          <w:rStyle w:val="CommentReference"/>
          <w:rFonts w:cstheme="minorBidi"/>
        </w:rPr>
        <w:commentReference w:id="1"/>
      </w:r>
      <w:r w:rsidRPr="002C6579">
        <w:br/>
        <w:t>107 West Locust Street</w:t>
      </w:r>
      <w:r w:rsidRPr="002C6579">
        <w:br/>
        <w:t>Suite 301</w:t>
      </w:r>
      <w:r w:rsidRPr="002C6579">
        <w:br/>
        <w:t>Boonville, IN 47601</w:t>
      </w:r>
    </w:p>
    <w:p w14:paraId="49C4C739" w14:textId="77777777" w:rsidR="00396808" w:rsidRPr="00396808" w:rsidRDefault="00396808" w:rsidP="00F46E07">
      <w:pPr>
        <w:spacing w:after="0"/>
        <w:rPr>
          <w:sz w:val="24"/>
          <w:szCs w:val="24"/>
        </w:rPr>
      </w:pPr>
    </w:p>
    <w:p w14:paraId="437C28DD" w14:textId="1D1B9FBD" w:rsidR="003305AA" w:rsidRDefault="00F46E07" w:rsidP="00396808">
      <w:pPr>
        <w:spacing w:after="0"/>
        <w:rPr>
          <w:rFonts w:cs="Times New Roman"/>
          <w:sz w:val="24"/>
          <w:szCs w:val="24"/>
        </w:rPr>
      </w:pPr>
      <w:r w:rsidRPr="00396808">
        <w:rPr>
          <w:rFonts w:cs="Times New Roman"/>
          <w:sz w:val="24"/>
          <w:szCs w:val="24"/>
        </w:rPr>
        <w:t>Dear Members of the Warrick County Area Plan Commission and Warrick County Commissioners:</w:t>
      </w:r>
    </w:p>
    <w:p w14:paraId="47CBDAD2" w14:textId="77777777" w:rsidR="00396808" w:rsidRPr="00396808" w:rsidRDefault="00396808" w:rsidP="00396808">
      <w:pPr>
        <w:spacing w:after="0"/>
        <w:rPr>
          <w:rFonts w:cs="Times New Roman"/>
          <w:sz w:val="24"/>
          <w:szCs w:val="24"/>
        </w:rPr>
      </w:pPr>
    </w:p>
    <w:p w14:paraId="758429D3" w14:textId="77777777" w:rsidR="00A85048" w:rsidRDefault="00A85048" w:rsidP="00A85048">
      <w:pPr>
        <w:pStyle w:val="isselectedend"/>
      </w:pPr>
      <w:r>
        <w:t>On behalf of AstraZeneca, we write to respectfully urge the Warrick County Area Plan Commission to vote no on the proposed data center ordinance currently scheduled for consideration on July 13.</w:t>
      </w:r>
    </w:p>
    <w:p w14:paraId="6A458520" w14:textId="77777777" w:rsidR="00A85048" w:rsidRDefault="00A85048" w:rsidP="00A85048">
      <w:pPr>
        <w:pStyle w:val="isselectedend"/>
      </w:pPr>
      <w:r>
        <w:t>Southwest Indiana has a strong foundation of advanced industry, health care, education, logistics, manufacturing, and workforce development. As the economy becomes increasingly data-driven, communities that invest in reliable infrastructure, technology readiness, and workforce pathways will be better positioned to compete for future growth.</w:t>
      </w:r>
    </w:p>
    <w:p w14:paraId="08111809" w14:textId="77777777" w:rsidR="00A85048" w:rsidRDefault="00A85048" w:rsidP="00A85048">
      <w:pPr>
        <w:pStyle w:val="isselectedend"/>
      </w:pPr>
      <w:r>
        <w:t>Data centers are part of the modern infrastructure that supports nearly every sector of the economy, including health care, life sciences, manufacturing, logistics, financial services, education, and public services. When planned responsibly, these projects can generate significant private investment, strengthen the local tax base, create demand for construction and skilled trades, and support local suppliers, service providers, and small businesses.</w:t>
      </w:r>
    </w:p>
    <w:p w14:paraId="12D3CAF8" w14:textId="77777777" w:rsidR="00A85048" w:rsidRDefault="00A85048" w:rsidP="00A85048">
      <w:pPr>
        <w:pStyle w:val="isselectedend"/>
      </w:pPr>
      <w:r>
        <w:t>We recognize that responsible development must include transparency, accountability, and thoughtful review. Local officials should evaluate potential projects carefully, including questions related to energy reliability, water, environmental oversight, land use, infrastructure, public safety, and long-term community benefit. These are appropriate questions, and they should be part of a serious planning process.</w:t>
      </w:r>
    </w:p>
    <w:p w14:paraId="621E3A53" w14:textId="77777777" w:rsidR="00A85048" w:rsidRDefault="00A85048" w:rsidP="00A85048">
      <w:pPr>
        <w:pStyle w:val="isselectedend"/>
      </w:pPr>
      <w:r>
        <w:t>For that reason, we believe the proposed ordinance should not move forward as currently drafted. Voting no would allow residents, employers, utilities, schools, workforce partners, economic development leaders, public safety officials, and other community stakeholders to better understand the facts, evaluate potential impacts, and help shape an approach that protects community interests while preserving Warrick County’s ability to compete for responsible investment.</w:t>
      </w:r>
    </w:p>
    <w:p w14:paraId="3CB05EC4" w14:textId="77777777" w:rsidR="00A85048" w:rsidRDefault="00A85048" w:rsidP="00A85048">
      <w:pPr>
        <w:pStyle w:val="isselectedend"/>
      </w:pPr>
      <w:r>
        <w:t>Voting no does not mean opposition to reasonable local standards or responsible oversight. Rather, it would provide additional time to develop a balanced approach that reflects broader stakeholder input, meaningful engagement, and proper vetting.</w:t>
      </w:r>
    </w:p>
    <w:p w14:paraId="55304C29" w14:textId="77777777" w:rsidR="00A85048" w:rsidRDefault="00A85048" w:rsidP="00A85048">
      <w:pPr>
        <w:pStyle w:val="isselectedend"/>
      </w:pPr>
      <w:r>
        <w:lastRenderedPageBreak/>
        <w:t>The goal should not be growth at any cost. The goal should be growth that delivers measurable local benefit, supports existing employers, improves regional competitiveness, and creates more opportunity for families to build their futures here.</w:t>
      </w:r>
    </w:p>
    <w:p w14:paraId="38E69B42" w14:textId="77777777" w:rsidR="00A85048" w:rsidRDefault="00A85048" w:rsidP="00A85048">
      <w:pPr>
        <w:pStyle w:val="isselectedend"/>
      </w:pPr>
      <w:r>
        <w:t>For these reasons, AstraZeneca respectfully urges the Area Plan Commission to vote no on the proposed ordinance on July 13. With strong planning, local oversight, and transparent public engagement, Warrick County can protect community interests while helping Southwest Indiana prepare for the next generation of economic growth.</w:t>
      </w:r>
    </w:p>
    <w:p w14:paraId="01DF0F11" w14:textId="77777777" w:rsidR="00A85048" w:rsidRDefault="00A85048" w:rsidP="00A85048">
      <w:pPr>
        <w:pStyle w:val="NormalWeb"/>
      </w:pPr>
      <w:r>
        <w:t>Thank you for your consideration and for your service to Warrick County.</w:t>
      </w:r>
    </w:p>
    <w:p w14:paraId="44ED7002" w14:textId="77777777" w:rsidR="0049361D" w:rsidRPr="00396808" w:rsidRDefault="0049361D" w:rsidP="001C3CE0">
      <w:pPr>
        <w:spacing w:after="0"/>
        <w:rPr>
          <w:sz w:val="24"/>
          <w:szCs w:val="24"/>
        </w:rPr>
      </w:pPr>
      <w:bookmarkStart w:id="2" w:name="_GoBack"/>
      <w:bookmarkEnd w:id="2"/>
    </w:p>
    <w:p w14:paraId="5D3C87AF" w14:textId="77777777" w:rsidR="001C3CE0" w:rsidRPr="00396808" w:rsidRDefault="001C3CE0" w:rsidP="001C3CE0">
      <w:pPr>
        <w:spacing w:after="360"/>
        <w:rPr>
          <w:sz w:val="24"/>
          <w:szCs w:val="24"/>
        </w:rPr>
      </w:pPr>
      <w:r w:rsidRPr="00396808">
        <w:rPr>
          <w:sz w:val="24"/>
          <w:szCs w:val="24"/>
        </w:rPr>
        <w:t>Sincerely,</w:t>
      </w:r>
    </w:p>
    <w:p w14:paraId="283F8B62" w14:textId="20D48B25" w:rsidR="001C3CE0" w:rsidRPr="00396808" w:rsidRDefault="001C3CE0" w:rsidP="003305AA">
      <w:pPr>
        <w:spacing w:after="0"/>
        <w:rPr>
          <w:sz w:val="24"/>
          <w:szCs w:val="24"/>
        </w:rPr>
        <w:sectPr w:rsidR="001C3CE0" w:rsidRPr="00396808">
          <w:pgSz w:w="12240" w:h="15840"/>
          <w:pgMar w:top="1440" w:right="1440" w:bottom="1440" w:left="1440" w:header="720" w:footer="720" w:gutter="0"/>
          <w:cols w:space="720"/>
          <w:docGrid w:linePitch="360"/>
        </w:sectPr>
      </w:pPr>
    </w:p>
    <w:p w14:paraId="28D3060B" w14:textId="55CA56A1" w:rsidR="003305AA" w:rsidRPr="00396808" w:rsidRDefault="003305AA" w:rsidP="003305AA">
      <w:pPr>
        <w:spacing w:after="0"/>
        <w:rPr>
          <w:sz w:val="24"/>
          <w:szCs w:val="24"/>
        </w:rPr>
      </w:pPr>
      <w:r w:rsidRPr="00396808">
        <w:rPr>
          <w:sz w:val="24"/>
          <w:szCs w:val="24"/>
          <w:highlight w:val="yellow"/>
        </w:rPr>
        <w:t>[Name]</w:t>
      </w:r>
      <w:r w:rsidRPr="00396808">
        <w:rPr>
          <w:sz w:val="24"/>
          <w:szCs w:val="24"/>
          <w:highlight w:val="yellow"/>
        </w:rPr>
        <w:br/>
        <w:t>[Title]</w:t>
      </w:r>
      <w:r w:rsidRPr="00396808">
        <w:rPr>
          <w:sz w:val="24"/>
          <w:szCs w:val="24"/>
        </w:rPr>
        <w:br/>
      </w:r>
      <w:r w:rsidR="001855CF" w:rsidRPr="00396808">
        <w:rPr>
          <w:sz w:val="24"/>
          <w:szCs w:val="24"/>
        </w:rPr>
        <w:t>AstraZeneca</w:t>
      </w:r>
    </w:p>
    <w:p w14:paraId="429BACDC" w14:textId="77777777" w:rsidR="003305AA" w:rsidRPr="00396808" w:rsidRDefault="003305AA" w:rsidP="003305AA">
      <w:pPr>
        <w:spacing w:after="0"/>
        <w:rPr>
          <w:sz w:val="24"/>
          <w:szCs w:val="24"/>
        </w:rPr>
      </w:pPr>
    </w:p>
    <w:p w14:paraId="69435E18" w14:textId="77777777" w:rsidR="003305AA" w:rsidRPr="00396808" w:rsidRDefault="003305AA" w:rsidP="003305AA">
      <w:pPr>
        <w:spacing w:after="0"/>
        <w:rPr>
          <w:sz w:val="24"/>
          <w:szCs w:val="24"/>
        </w:rPr>
      </w:pPr>
    </w:p>
    <w:p w14:paraId="4FE1E3FD" w14:textId="3CCD4414" w:rsidR="003305AA" w:rsidRPr="00396808" w:rsidRDefault="003305AA" w:rsidP="001C3CE0">
      <w:pPr>
        <w:spacing w:after="0"/>
        <w:rPr>
          <w:sz w:val="24"/>
          <w:szCs w:val="24"/>
        </w:rPr>
      </w:pPr>
    </w:p>
    <w:p w14:paraId="5E901428" w14:textId="4B3C7AF3" w:rsidR="003305AA" w:rsidRPr="00396808" w:rsidRDefault="003305AA" w:rsidP="003305AA">
      <w:pPr>
        <w:spacing w:after="0"/>
        <w:rPr>
          <w:sz w:val="24"/>
          <w:szCs w:val="24"/>
        </w:rPr>
        <w:sectPr w:rsidR="003305AA" w:rsidRPr="00396808" w:rsidSect="003305AA">
          <w:type w:val="continuous"/>
          <w:pgSz w:w="12240" w:h="15840"/>
          <w:pgMar w:top="1440" w:right="1440" w:bottom="1440" w:left="1440" w:header="720" w:footer="720" w:gutter="0"/>
          <w:cols w:num="2" w:space="720"/>
          <w:docGrid w:linePitch="360"/>
        </w:sectPr>
      </w:pPr>
    </w:p>
    <w:p w14:paraId="586218B3" w14:textId="77777777" w:rsidR="008F2A74" w:rsidRPr="00396808" w:rsidRDefault="008F2A74" w:rsidP="003305AA">
      <w:pPr>
        <w:spacing w:after="0"/>
        <w:rPr>
          <w:sz w:val="24"/>
          <w:szCs w:val="24"/>
        </w:rPr>
      </w:pPr>
    </w:p>
    <w:sectPr w:rsidR="008F2A74" w:rsidRPr="00396808" w:rsidSect="003305A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2AAEB5B6" w14:textId="77777777" w:rsidR="00A85048" w:rsidRDefault="00A85048" w:rsidP="00A85048">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0B7DD26C" w14:textId="77777777" w:rsidR="00A85048" w:rsidRDefault="00A85048" w:rsidP="00A85048">
      <w:pPr>
        <w:pStyle w:val="CommentText"/>
      </w:pPr>
    </w:p>
  </w:comment>
  <w:comment w:id="1" w:author="Author" w:initials="A">
    <w:p w14:paraId="74FE41C3" w14:textId="77777777" w:rsidR="00A85048" w:rsidRDefault="00A85048" w:rsidP="00A85048">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DD26C" w15:done="0"/>
  <w15:commentEx w15:paraId="74FE41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DD26C" w16cid:durableId="2DF62C08"/>
  <w16cid:commentId w16cid:paraId="74FE41C3"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240EE"/>
    <w:rsid w:val="0011496A"/>
    <w:rsid w:val="001855CF"/>
    <w:rsid w:val="001C3CE0"/>
    <w:rsid w:val="003305AA"/>
    <w:rsid w:val="00396808"/>
    <w:rsid w:val="0049361D"/>
    <w:rsid w:val="007F2BFD"/>
    <w:rsid w:val="008F2A74"/>
    <w:rsid w:val="00A85048"/>
    <w:rsid w:val="00D8390A"/>
    <w:rsid w:val="00E970EE"/>
    <w:rsid w:val="00F4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49361D"/>
    <w:rPr>
      <w:color w:val="0563C1" w:themeColor="hyperlink"/>
      <w:u w:val="single"/>
    </w:rPr>
  </w:style>
  <w:style w:type="paragraph" w:customStyle="1" w:styleId="isselectedend">
    <w:name w:val="isselectedend"/>
    <w:basedOn w:val="Normal"/>
    <w:rsid w:val="00F46E07"/>
    <w:pPr>
      <w:spacing w:before="100" w:beforeAutospacing="1" w:after="100" w:afterAutospacing="1"/>
    </w:pPr>
    <w:rPr>
      <w:rFonts w:cs="Times New Roman"/>
      <w:sz w:val="24"/>
      <w:szCs w:val="24"/>
    </w:rPr>
  </w:style>
  <w:style w:type="paragraph" w:styleId="NormalWeb">
    <w:name w:val="Normal (Web)"/>
    <w:basedOn w:val="Normal"/>
    <w:uiPriority w:val="99"/>
    <w:semiHidden/>
    <w:unhideWhenUsed/>
    <w:rsid w:val="00396808"/>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03389">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556234596">
      <w:bodyDiv w:val="1"/>
      <w:marLeft w:val="0"/>
      <w:marRight w:val="0"/>
      <w:marTop w:val="0"/>
      <w:marBottom w:val="0"/>
      <w:divBdr>
        <w:top w:val="none" w:sz="0" w:space="0" w:color="auto"/>
        <w:left w:val="none" w:sz="0" w:space="0" w:color="auto"/>
        <w:bottom w:val="none" w:sz="0" w:space="0" w:color="auto"/>
        <w:right w:val="none" w:sz="0" w:space="0" w:color="auto"/>
      </w:divBdr>
    </w:div>
    <w:div w:id="1856460416">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 w:id="21301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2026-07-06T13:36:00Z</dcterms:created>
  <dcterms:modified xsi:type="dcterms:W3CDTF">2026-07-06T18:58:00Z</dcterms:modified>
</cp:coreProperties>
</file>