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03E7" w14:textId="77777777" w:rsidR="003305AA" w:rsidRPr="00061474" w:rsidRDefault="003305AA" w:rsidP="003305AA">
      <w:pPr>
        <w:spacing w:after="0"/>
        <w:jc w:val="center"/>
        <w:rPr>
          <w:sz w:val="24"/>
          <w:szCs w:val="24"/>
        </w:rPr>
      </w:pPr>
    </w:p>
    <w:p w14:paraId="46FA9726" w14:textId="2915D219" w:rsidR="003305AA" w:rsidRPr="00061474" w:rsidRDefault="003305AA" w:rsidP="003305AA">
      <w:pPr>
        <w:spacing w:after="0"/>
        <w:rPr>
          <w:sz w:val="24"/>
          <w:szCs w:val="24"/>
          <w:highlight w:val="yellow"/>
        </w:rPr>
      </w:pPr>
      <w:r w:rsidRPr="00061474">
        <w:rPr>
          <w:sz w:val="24"/>
          <w:szCs w:val="24"/>
          <w:highlight w:val="yellow"/>
        </w:rPr>
        <w:t>[</w:t>
      </w:r>
      <w:r w:rsidR="00F459CA" w:rsidRPr="00061474">
        <w:rPr>
          <w:sz w:val="24"/>
          <w:szCs w:val="24"/>
          <w:highlight w:val="yellow"/>
        </w:rPr>
        <w:t xml:space="preserve">Alcoa </w:t>
      </w:r>
      <w:r w:rsidRPr="00061474">
        <w:rPr>
          <w:sz w:val="24"/>
          <w:szCs w:val="24"/>
          <w:highlight w:val="yellow"/>
        </w:rPr>
        <w:t>Letterhead]</w:t>
      </w:r>
    </w:p>
    <w:p w14:paraId="1B20FB44" w14:textId="77777777" w:rsidR="00061474" w:rsidRPr="00061474" w:rsidRDefault="00061474" w:rsidP="00061474">
      <w:pPr>
        <w:pStyle w:val="isselectedend"/>
        <w:spacing w:before="0" w:beforeAutospacing="0" w:after="0" w:afterAutospacing="0"/>
      </w:pPr>
    </w:p>
    <w:p w14:paraId="72C0A941" w14:textId="3043264C" w:rsidR="00061474" w:rsidRPr="00061474" w:rsidRDefault="00061474" w:rsidP="00061474">
      <w:pPr>
        <w:pStyle w:val="isselectedend"/>
        <w:spacing w:before="0" w:beforeAutospacing="0" w:after="0" w:afterAutospacing="0"/>
      </w:pPr>
      <w:r w:rsidRPr="00061474">
        <w:t xml:space="preserve">Warrick County Area Plan </w:t>
      </w:r>
      <w:commentRangeStart w:id="0"/>
      <w:r w:rsidRPr="00061474">
        <w:t>Commission</w:t>
      </w:r>
      <w:commentRangeEnd w:id="0"/>
      <w:r w:rsidRPr="00061474">
        <w:rPr>
          <w:rStyle w:val="CommentReference"/>
          <w:rFonts w:cstheme="minorBidi"/>
          <w:sz w:val="24"/>
          <w:szCs w:val="24"/>
        </w:rPr>
        <w:commentReference w:id="0"/>
      </w:r>
    </w:p>
    <w:p w14:paraId="642A1A7F" w14:textId="77777777" w:rsidR="00061474" w:rsidRPr="00061474" w:rsidRDefault="00061474" w:rsidP="00061474">
      <w:pPr>
        <w:pStyle w:val="isselectedend"/>
        <w:spacing w:before="0" w:beforeAutospacing="0" w:after="0" w:afterAutospacing="0"/>
      </w:pPr>
      <w:r w:rsidRPr="00061474">
        <w:t xml:space="preserve">Warrick County Board of </w:t>
      </w:r>
      <w:commentRangeStart w:id="1"/>
      <w:r w:rsidRPr="00061474">
        <w:t>Commissioners</w:t>
      </w:r>
      <w:commentRangeEnd w:id="1"/>
      <w:r w:rsidRPr="00061474">
        <w:rPr>
          <w:rStyle w:val="CommentReference"/>
          <w:rFonts w:cstheme="minorBidi"/>
          <w:sz w:val="24"/>
          <w:szCs w:val="24"/>
        </w:rPr>
        <w:commentReference w:id="1"/>
      </w:r>
      <w:r w:rsidRPr="00061474">
        <w:br/>
        <w:t>107 West Locust Street</w:t>
      </w:r>
      <w:r w:rsidRPr="00061474">
        <w:br/>
        <w:t>Suite 301</w:t>
      </w:r>
      <w:r w:rsidRPr="00061474">
        <w:br/>
        <w:t>Boonville, IN 47601</w:t>
      </w:r>
    </w:p>
    <w:p w14:paraId="50AA61C9"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On behalf of Alcoa Warrick Operations, I am writing to respectfully urge the Warrick County Area Plan Commission to vote no on the proposed data center ordinance currently scheduled for consideration on July 13.</w:t>
      </w:r>
    </w:p>
    <w:p w14:paraId="33762BAB"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Alcoa has been part of Warrick County and Southwest Indiana for generations. Since beginning operations in Newburgh in 1960, Alcoa Warrick Operations has helped anchor the region’s advanced manufacturing economy, supporting hundreds of high-quality jobs, contributing to the local tax base, and investing in the long-term success of the community. Our operations are deeply connected to many of the same issues now being discussed in relation to data centers, including energy infrastructure, workforce development, land use, utility coordination, environmental stewardship, and long-term regional competitiveness.</w:t>
      </w:r>
    </w:p>
    <w:p w14:paraId="57761C2E"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Data centers raise legitimate questions. Any major project should be evaluated carefully for its impacts on power demand, water use, roads, emergency services, land use, neighboring properties, and the broader community. Those questions deserve clear answers and a thoughtful public process. At the same time, Warrick County should be careful not to adopt standards that unintentionally signal the region is closed to future investment before a full and balanced conversation has taken place.</w:t>
      </w:r>
    </w:p>
    <w:p w14:paraId="6924017A"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Southwest Indiana is increasingly being considered for major industrial, energy, technology, and infrastructure investment. These opportunities can broaden the tax base, support local services, strengthen utility and infrastructure systems, create construction and permanent jobs, and help position the region for long-term economic competitiveness. They should not be approved without proper review, but they also should not be effectively ruled out through a rushed process with limited input from major employers, utilities, workforce partners, residents, and regional economic development stakeholders.</w:t>
      </w:r>
    </w:p>
    <w:p w14:paraId="25598D53"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For that reason, we believe the proposed ordinance should not move forward as currently drafted. Voting no would allow the County to better evaluate how to address legitimate community concerns while preserving flexibility for responsible projects that can meet high standards.</w:t>
      </w:r>
    </w:p>
    <w:p w14:paraId="778F611F"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Voting no does not mean opposition to reasonable local standards or responsible oversight. Rather, it would help ensure that any ordinance is developed through a complete, fact-based, and inclusive process that reflects broader stakeholder input, meaningful engagement, and proper vetting.</w:t>
      </w:r>
    </w:p>
    <w:p w14:paraId="528DD666"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lastRenderedPageBreak/>
        <w:t>As a long-standing industrial employer in Warrick County, Alcoa understands the importance of responsible growth. We also understand that clear, predictable, and balanced local standards are essential for communities that want to compete for investment while protecting the interests of residents. The County should have the time needed to hear from residents, existing employers, utilities, schools, workforce partners, economic development leaders, and other stakeholders before advancing a policy that could sh</w:t>
      </w:r>
      <w:bookmarkStart w:id="2" w:name="_GoBack"/>
      <w:bookmarkEnd w:id="2"/>
      <w:r w:rsidRPr="00061474">
        <w:rPr>
          <w:rFonts w:cs="Times New Roman"/>
          <w:sz w:val="24"/>
          <w:szCs w:val="24"/>
        </w:rPr>
        <w:t>ape Warrick County’s economic future for years to come.</w:t>
      </w:r>
    </w:p>
    <w:p w14:paraId="2666F5E0"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For these reasons, Alcoa Warrick Operations respectfully urges the Area Plan Commission to vote no on the proposed ordinance on July 13. We believe additional discussion and stakeholder engagement are necessary before Warrick County advances a policy of this magnitude.</w:t>
      </w:r>
    </w:p>
    <w:p w14:paraId="56F35EA7" w14:textId="77777777" w:rsidR="00061474" w:rsidRPr="00061474" w:rsidRDefault="00061474" w:rsidP="00061474">
      <w:pPr>
        <w:spacing w:before="100" w:beforeAutospacing="1" w:after="100" w:afterAutospacing="1"/>
        <w:rPr>
          <w:rFonts w:cs="Times New Roman"/>
          <w:sz w:val="24"/>
          <w:szCs w:val="24"/>
        </w:rPr>
      </w:pPr>
      <w:r w:rsidRPr="00061474">
        <w:rPr>
          <w:rFonts w:cs="Times New Roman"/>
          <w:sz w:val="24"/>
          <w:szCs w:val="24"/>
        </w:rPr>
        <w:t>Thank you for your consideration and for your continued service to Warrick County.</w:t>
      </w:r>
    </w:p>
    <w:p w14:paraId="2B558FF1" w14:textId="77777777" w:rsidR="00611ACE" w:rsidRPr="00061474" w:rsidRDefault="00611ACE" w:rsidP="00611ACE">
      <w:pPr>
        <w:spacing w:before="100" w:beforeAutospacing="1" w:after="100" w:afterAutospacing="1"/>
        <w:rPr>
          <w:rFonts w:cs="Times New Roman"/>
          <w:sz w:val="24"/>
          <w:szCs w:val="24"/>
        </w:rPr>
      </w:pPr>
      <w:r w:rsidRPr="00061474">
        <w:rPr>
          <w:rFonts w:cs="Times New Roman"/>
          <w:sz w:val="24"/>
          <w:szCs w:val="24"/>
        </w:rPr>
        <w:t>Sincerely,</w:t>
      </w:r>
    </w:p>
    <w:p w14:paraId="0C7FC95A" w14:textId="7CFF551D" w:rsidR="00611ACE" w:rsidRPr="00061474" w:rsidRDefault="00611ACE" w:rsidP="00611ACE">
      <w:pPr>
        <w:spacing w:before="100" w:beforeAutospacing="1" w:after="100" w:afterAutospacing="1"/>
        <w:rPr>
          <w:rFonts w:cs="Times New Roman"/>
          <w:sz w:val="24"/>
          <w:szCs w:val="24"/>
        </w:rPr>
      </w:pPr>
      <w:r w:rsidRPr="00E05F72">
        <w:rPr>
          <w:rFonts w:cs="Times New Roman"/>
          <w:sz w:val="24"/>
          <w:szCs w:val="24"/>
          <w:highlight w:val="yellow"/>
        </w:rPr>
        <w:t>[Name]</w:t>
      </w:r>
      <w:r w:rsidRPr="00E05F72">
        <w:rPr>
          <w:rFonts w:cs="Times New Roman"/>
          <w:sz w:val="24"/>
          <w:szCs w:val="24"/>
          <w:highlight w:val="yellow"/>
        </w:rPr>
        <w:br/>
        <w:t>[Title]</w:t>
      </w:r>
      <w:r w:rsidRPr="00E05F72">
        <w:rPr>
          <w:rFonts w:cs="Times New Roman"/>
          <w:sz w:val="24"/>
          <w:szCs w:val="24"/>
        </w:rPr>
        <w:br/>
        <w:t>Alcoa Warrick Operations</w:t>
      </w:r>
      <w:r w:rsidRPr="00061474">
        <w:rPr>
          <w:rFonts w:cs="Times New Roman"/>
          <w:sz w:val="24"/>
          <w:szCs w:val="24"/>
          <w:highlight w:val="yellow"/>
        </w:rPr>
        <w:br/>
      </w:r>
    </w:p>
    <w:p w14:paraId="586218B3" w14:textId="77777777" w:rsidR="008F2A74" w:rsidRPr="00061474" w:rsidRDefault="008F2A74" w:rsidP="00611ACE">
      <w:pPr>
        <w:spacing w:before="100" w:beforeAutospacing="1" w:after="100" w:afterAutospacing="1"/>
        <w:rPr>
          <w:sz w:val="24"/>
          <w:szCs w:val="24"/>
        </w:rPr>
      </w:pPr>
    </w:p>
    <w:sectPr w:rsidR="008F2A74" w:rsidRPr="00061474" w:rsidSect="00440E0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3E476BF4" w14:textId="77777777" w:rsidR="00061474" w:rsidRDefault="00061474" w:rsidP="00061474">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5505461B" w14:textId="77777777" w:rsidR="00061474" w:rsidRDefault="00061474" w:rsidP="00061474">
      <w:pPr>
        <w:pStyle w:val="CommentText"/>
      </w:pPr>
    </w:p>
  </w:comment>
  <w:comment w:id="1" w:author="Author" w:initials="A">
    <w:p w14:paraId="465F6B2D" w14:textId="77777777" w:rsidR="00061474" w:rsidRDefault="00061474" w:rsidP="00061474">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05461B" w15:done="0"/>
  <w15:commentEx w15:paraId="465F6B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461B" w16cid:durableId="2DF62C08"/>
  <w16cid:commentId w16cid:paraId="465F6B2D"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61474"/>
    <w:rsid w:val="0011496A"/>
    <w:rsid w:val="00132888"/>
    <w:rsid w:val="001855CF"/>
    <w:rsid w:val="001A4282"/>
    <w:rsid w:val="001C3CE0"/>
    <w:rsid w:val="00285886"/>
    <w:rsid w:val="003305AA"/>
    <w:rsid w:val="00440E04"/>
    <w:rsid w:val="00494B12"/>
    <w:rsid w:val="00611ACE"/>
    <w:rsid w:val="0065062A"/>
    <w:rsid w:val="007238AD"/>
    <w:rsid w:val="007F2BFD"/>
    <w:rsid w:val="008C78C8"/>
    <w:rsid w:val="008F2A74"/>
    <w:rsid w:val="00BA4A39"/>
    <w:rsid w:val="00D8390A"/>
    <w:rsid w:val="00E05F72"/>
    <w:rsid w:val="00E970EE"/>
    <w:rsid w:val="00F459CA"/>
    <w:rsid w:val="00F55F1D"/>
    <w:rsid w:val="00F6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F55F1D"/>
    <w:rPr>
      <w:color w:val="0563C1" w:themeColor="hyperlink"/>
      <w:u w:val="single"/>
    </w:rPr>
  </w:style>
  <w:style w:type="paragraph" w:customStyle="1" w:styleId="isselectedend">
    <w:name w:val="isselectedend"/>
    <w:basedOn w:val="Normal"/>
    <w:rsid w:val="00440E04"/>
    <w:pPr>
      <w:spacing w:before="100" w:beforeAutospacing="1" w:after="100" w:afterAutospacing="1"/>
    </w:pPr>
    <w:rPr>
      <w:rFonts w:cs="Times New Roman"/>
      <w:sz w:val="24"/>
      <w:szCs w:val="24"/>
    </w:rPr>
  </w:style>
  <w:style w:type="character" w:customStyle="1" w:styleId="text-token-text-primary">
    <w:name w:val="text-token-text-primary"/>
    <w:basedOn w:val="DefaultParagraphFont"/>
    <w:rsid w:val="00440E04"/>
  </w:style>
  <w:style w:type="paragraph" w:styleId="NormalWeb">
    <w:name w:val="Normal (Web)"/>
    <w:basedOn w:val="Normal"/>
    <w:uiPriority w:val="99"/>
    <w:semiHidden/>
    <w:unhideWhenUsed/>
    <w:rsid w:val="00440E04"/>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4119">
      <w:bodyDiv w:val="1"/>
      <w:marLeft w:val="0"/>
      <w:marRight w:val="0"/>
      <w:marTop w:val="0"/>
      <w:marBottom w:val="0"/>
      <w:divBdr>
        <w:top w:val="none" w:sz="0" w:space="0" w:color="auto"/>
        <w:left w:val="none" w:sz="0" w:space="0" w:color="auto"/>
        <w:bottom w:val="none" w:sz="0" w:space="0" w:color="auto"/>
        <w:right w:val="none" w:sz="0" w:space="0" w:color="auto"/>
      </w:divBdr>
    </w:div>
    <w:div w:id="331840161">
      <w:bodyDiv w:val="1"/>
      <w:marLeft w:val="0"/>
      <w:marRight w:val="0"/>
      <w:marTop w:val="0"/>
      <w:marBottom w:val="0"/>
      <w:divBdr>
        <w:top w:val="none" w:sz="0" w:space="0" w:color="auto"/>
        <w:left w:val="none" w:sz="0" w:space="0" w:color="auto"/>
        <w:bottom w:val="none" w:sz="0" w:space="0" w:color="auto"/>
        <w:right w:val="none" w:sz="0" w:space="0" w:color="auto"/>
      </w:divBdr>
    </w:div>
    <w:div w:id="721246577">
      <w:bodyDiv w:val="1"/>
      <w:marLeft w:val="0"/>
      <w:marRight w:val="0"/>
      <w:marTop w:val="0"/>
      <w:marBottom w:val="0"/>
      <w:divBdr>
        <w:top w:val="none" w:sz="0" w:space="0" w:color="auto"/>
        <w:left w:val="none" w:sz="0" w:space="0" w:color="auto"/>
        <w:bottom w:val="none" w:sz="0" w:space="0" w:color="auto"/>
        <w:right w:val="none" w:sz="0" w:space="0" w:color="auto"/>
      </w:divBdr>
    </w:div>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248078826">
      <w:bodyDiv w:val="1"/>
      <w:marLeft w:val="0"/>
      <w:marRight w:val="0"/>
      <w:marTop w:val="0"/>
      <w:marBottom w:val="0"/>
      <w:divBdr>
        <w:top w:val="none" w:sz="0" w:space="0" w:color="auto"/>
        <w:left w:val="none" w:sz="0" w:space="0" w:color="auto"/>
        <w:bottom w:val="none" w:sz="0" w:space="0" w:color="auto"/>
        <w:right w:val="none" w:sz="0" w:space="0" w:color="auto"/>
      </w:divBdr>
    </w:div>
    <w:div w:id="1414401182">
      <w:bodyDiv w:val="1"/>
      <w:marLeft w:val="0"/>
      <w:marRight w:val="0"/>
      <w:marTop w:val="0"/>
      <w:marBottom w:val="0"/>
      <w:divBdr>
        <w:top w:val="none" w:sz="0" w:space="0" w:color="auto"/>
        <w:left w:val="none" w:sz="0" w:space="0" w:color="auto"/>
        <w:bottom w:val="none" w:sz="0" w:space="0" w:color="auto"/>
        <w:right w:val="none" w:sz="0" w:space="0" w:color="auto"/>
      </w:divBdr>
    </w:div>
    <w:div w:id="1556234596">
      <w:bodyDiv w:val="1"/>
      <w:marLeft w:val="0"/>
      <w:marRight w:val="0"/>
      <w:marTop w:val="0"/>
      <w:marBottom w:val="0"/>
      <w:divBdr>
        <w:top w:val="none" w:sz="0" w:space="0" w:color="auto"/>
        <w:left w:val="none" w:sz="0" w:space="0" w:color="auto"/>
        <w:bottom w:val="none" w:sz="0" w:space="0" w:color="auto"/>
        <w:right w:val="none" w:sz="0" w:space="0" w:color="auto"/>
      </w:divBdr>
    </w:div>
    <w:div w:id="20934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2026-07-04T19:21:00Z</dcterms:created>
  <dcterms:modified xsi:type="dcterms:W3CDTF">2026-07-06T19:06:00Z</dcterms:modified>
</cp:coreProperties>
</file>